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737F" w:rsidRPr="00A8737F" w:rsidRDefault="00A8737F" w:rsidP="00A8737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8737F">
        <w:rPr>
          <w:rFonts w:ascii="Times New Roman" w:hAnsi="Times New Roman" w:cs="Times New Roman"/>
          <w:sz w:val="28"/>
          <w:szCs w:val="28"/>
          <w:u w:val="single"/>
        </w:rPr>
        <w:t>1. Изменения в законодательстве об обществах с ограниченной ответственностью.</w:t>
      </w:r>
    </w:p>
    <w:p w:rsid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С 01.09.2017 вступили в силу положения Федерального закона от 28.12.2016 № 488-ФЗ «О внесении изменений в отдельные законодательные акты Российской Федерации», которым внесены изменения в Федеральный закон от 08.02.1998 №14-ФЗ «Об обществах с ограниченной ответственностью» (далее Федеральный закон).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Федеральный закон определяет в соответствии с Гражданским кодексом РФ правовое положение общества с ограниченной ответственностью, права и обязанности его участников, порядок создания, реорганизации и ликвидации общества. Особенности правового положения, порядка создания, реорганизации и ликвидации обществ с ограниченной ответственностью в сферах банковской, страховой, частной охранной и инвестиционной деятельности, а также в области производства сельскохозяйственной продукции, ипотечных агентов и специализированных обществ определяются федеральными законами.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Внесенными изменениями для участников общества с ограниченной ответственностью ограничен срок добровольной ликвидации общества.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По новому правилу максимальный срок такой ликвидации составит один год. Участники общества или орган, принявший решение о ликвидации, будут определять срок в этих пределах. Продлить его может суд, но не более чем на полгода.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Если срок на ликвидацию истечет либо участники или указанный орган отменят свое решение, принять повторное сразу будет нельзя. Придется подождать минимум шесть месяцев со дня внесения сведений об этом в Едином государственном реестре юридических лиц. Ранее подобных ограничений в этом законе не было.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2510A0" w:rsidRDefault="002510A0" w:rsidP="002510A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2. </w:t>
      </w:r>
      <w:r w:rsidR="00A8737F" w:rsidRPr="002510A0">
        <w:rPr>
          <w:rFonts w:ascii="Times New Roman" w:hAnsi="Times New Roman" w:cs="Times New Roman"/>
          <w:sz w:val="28"/>
          <w:szCs w:val="28"/>
          <w:u w:val="single"/>
        </w:rPr>
        <w:t>Законодателем приняты меры по пресечению распространения SIM-карт без предоставления реальных паспортных данных абонента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С 01.06.2018 услуги мобильной связи будут предоставляться только тем абонентам, которые предоставили оператору связи свои реальные персональные данные.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Соответствующие изменения внесены Федеральным законом от 29.07.2017 № 245-ФЗ в Федеральным закон «О связи».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Так, Федеральный закон от 7 июля 2003 года N 126-ФЗ «О связи» устанавливает правовые основы деятельности в области связи на территории РФ и на находящихся под юрисдикцией РФ территориях, определяет полномочия органов государственной власти в области связи, а также права и обязанности лиц, участвующих в указанной деятельности или пользующихся услугами связи.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Внесенными изменениями установлено, что проверка достоверности сведений об абоненте осуществляется путем установления фамилии, имени, отчества, даты рождения, а также других данных документа, удостоверяющего личность, подтверждаемых: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lastRenderedPageBreak/>
        <w:t>- предоставлением документа, удостоверяющего личность;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- через единую систему идентификации и аутентификации;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- использованием усиленной квалифицированной электронной подписи;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- через единый портал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>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- </w:t>
      </w:r>
      <w:r w:rsidR="002A3E48" w:rsidRPr="00A8737F">
        <w:rPr>
          <w:rFonts w:ascii="Times New Roman" w:hAnsi="Times New Roman" w:cs="Times New Roman"/>
          <w:sz w:val="28"/>
          <w:szCs w:val="28"/>
        </w:rPr>
        <w:t>через информационные системы</w:t>
      </w:r>
      <w:r w:rsidRPr="00A8737F">
        <w:rPr>
          <w:rFonts w:ascii="Times New Roman" w:hAnsi="Times New Roman" w:cs="Times New Roman"/>
          <w:sz w:val="28"/>
          <w:szCs w:val="28"/>
        </w:rPr>
        <w:t xml:space="preserve"> госорганов при наличии у оператора подключения к таким системам через единую систему межведомственного электронного взаимодействия.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Оператор связи будет обязан прекратить оказание услуг связи при поступлении соответствующего запроса от органа, осуществляющего оперативно-розыскную деятельность, или предписания Роскомнадзора, сформированного по результатам контрольных мероприятий, в случае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неподтверждения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 xml:space="preserve"> в течение пятнадцати суток соответствия персональных данных фактических пользователей сведениям, заявленным в абонентских договорах.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Абонент – юридическое лицо либо индивидуальный предприниматель, при использовании корпоративных тарифов, обязаны предоставить оператору связи сведения о каждом фактическом пользователе. При этом не требуется согласие таких пользователей на передачу их персональных данных оператору. В случае ликвидации абонента –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юрлица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 xml:space="preserve"> или прекращения деятельности ИП, абонентские номера, выделенные таким абонентам, могут быть переоформлены на фактического пользователя путем заключения с ним соответствующего договора об оказании услуг связи.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2510A0" w:rsidRDefault="002510A0" w:rsidP="002510A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3. </w:t>
      </w:r>
      <w:r w:rsidR="00A8737F" w:rsidRPr="002510A0">
        <w:rPr>
          <w:rFonts w:ascii="Times New Roman" w:hAnsi="Times New Roman" w:cs="Times New Roman"/>
          <w:sz w:val="28"/>
          <w:szCs w:val="28"/>
          <w:u w:val="single"/>
        </w:rPr>
        <w:t>Защита прав потребителей – приоритетное направление государственной политики Российской Федерации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Распоряжением Правительства РФ от 28.08.2017 № 1837-р утверждена Стратегия государственной политики по защите прав потребителей на период до 2030 года.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В качестве приоритетных направлений Стратегии определены следующие: обеспечение защиты населения как потребителей; защита потребительских прав социально уязвимых групп населения; стимулирование моделей производства и сферы услуг, способных удовлетворить потребности и запросы потребителей; развитие рыночной конъюнктуры, обеспечивающей потребителям больший выбор при более низких ценах; содействие созданию и деятельности общественных объединений потребителей.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Приоритетными направлениями Стратегии планируется обеспечить защиту потребителей в сфере электронной торговли на уровне, сравнимом c другими формам торговли. Предполагается, что доля споров с участием потребителей, разрешенных в досудебном и внесудебном порядке, в общем количестве споров с их участием к 2030 году должна достигнуть 50%. Кроме того, к указанной дате ожидается, что в каждом регионе стране будет действовать программа по защите прав потребителей.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Первоочередное внимание в Стратегии уделено таким важным для здоровья людей сферам, как продукты питания, медицинские услуги, фармацевтические товары, энергоснабжение, коммунальные услуги, туристические услуги. </w:t>
      </w:r>
      <w:r w:rsidRPr="00A8737F">
        <w:rPr>
          <w:rFonts w:ascii="Times New Roman" w:hAnsi="Times New Roman" w:cs="Times New Roman"/>
          <w:sz w:val="28"/>
          <w:szCs w:val="28"/>
        </w:rPr>
        <w:lastRenderedPageBreak/>
        <w:t xml:space="preserve">Планируется, что во исполнение Стратегии будет принят план мероприятий, который поручено подготовить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Роспотребнадзору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 xml:space="preserve"> совместно с другими федеральными ведомствами и представить в кабинет министров в течение 6 месяцев.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2510A0" w:rsidRDefault="002510A0" w:rsidP="002510A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4. </w:t>
      </w:r>
      <w:r w:rsidR="00A8737F" w:rsidRPr="002510A0">
        <w:rPr>
          <w:rFonts w:ascii="Times New Roman" w:hAnsi="Times New Roman" w:cs="Times New Roman"/>
          <w:sz w:val="28"/>
          <w:szCs w:val="28"/>
          <w:u w:val="single"/>
        </w:rPr>
        <w:t>Реализация имущества в счет погашения долга является объектом налогообложения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Верховный Суд Российской Федерации признал обоснованной позицию налогового органа о том, что реализация имущественного права в счет погашения долга является объектом налогообложения (Определение Верховного Суда Российской Федерации от 11.07.2017 № 302-КГ17-785 по делу № А78-2540/2016).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Судом установлено, что налоговый орган в рамках выездной проверки индивидуального предпринимателя установил, что между ним и обществом с ограниченной ответственностью был заключен договор купли-продажи имущественных прав и обязанностей, по которому общество приобретает имущественные права и обязанности арендатора земельного участка.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Взаиморасчет между сторонами осуществлялся с помощью зачетов встречных однородных требований с привлечением третьих лиц, в том числе с использованием зачетных писем, а также перечисления денежных средств на расчетный счет.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По результатам проверки налоговый орган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доначислил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 xml:space="preserve"> индивидуальному предпринимателю налоги, пени и штрафы, поскольку реализацию права аренды земельного участка и доход от данной сделки он не учел при исчислении НДС и НДФЛ.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Действия налогового органы были обжалованы индивидуальным предпринимателем в арбитражный суд, который поддержал его требования и признал доначисления необоснованными, указав, что возврат займа путем передачи имущественного права аренды земельного участка не облагается НДС и НДФЛ.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Постановлениями арбитражных судов апелляционной и кассационной инстанций решение арбитражного суда первой инстанции оставлено без изменения.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В кассационной жалобе, поданной в Верховный Суд Российской Федерации, налоговый орган указал, что способы расчетов по договору купли-продажи имущественных прав не имеют правового значения для исчисления НДС и НДФЛ.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Судебная коллегия по экономическим спорам Верховного Суда Российской Федерации, поддержав позицию налогового органа, решения судов нижестоящих инстанций отменила.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2510A0" w:rsidRDefault="002510A0" w:rsidP="002510A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5. </w:t>
      </w:r>
      <w:r w:rsidR="00A8737F" w:rsidRPr="002510A0">
        <w:rPr>
          <w:rFonts w:ascii="Times New Roman" w:hAnsi="Times New Roman" w:cs="Times New Roman"/>
          <w:sz w:val="28"/>
          <w:szCs w:val="28"/>
          <w:u w:val="single"/>
        </w:rPr>
        <w:t>Предварительное согласование предоставления земельного участка</w:t>
      </w:r>
    </w:p>
    <w:p w:rsidR="002510A0" w:rsidRDefault="002510A0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lastRenderedPageBreak/>
        <w:t>В соответствии с действующим федеральным законодательством для предоставления заинтересованному лицу земельного участка необходимо пройти процедуру предварительного согласования.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Данная процедура регламентируется ст. 39.15 Земельного кодекса Российской Федерации (далее – ЗК РФ).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Для того, чтобы предварительно согласовать земельный участок необходимо подать в соответствующие уполномоченные органы власти, в зависимости от собственника земельного участка соответствующее заявление.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В соответствии с ч. 1 ст. 39.15 ЗК РФ В заявлении о предварительном согласовании предоставления земельного участка указываются: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1) фамилия, имя и (при наличии) отчество, место жительства заявителя, реквизиты документа, удостоверяющего личность заявителя (для гражданина);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2) 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налогоплательщика, за исключением случаев, если заявителем является иностранное юридическое лицо;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3) кадастровый номер земельного участка, заявление </w:t>
      </w:r>
      <w:proofErr w:type="gramStart"/>
      <w:r w:rsidRPr="00A8737F">
        <w:rPr>
          <w:rFonts w:ascii="Times New Roman" w:hAnsi="Times New Roman" w:cs="Times New Roman"/>
          <w:sz w:val="28"/>
          <w:szCs w:val="28"/>
        </w:rPr>
        <w:t>о предварительном согласовании предоставления</w:t>
      </w:r>
      <w:proofErr w:type="gramEnd"/>
      <w:r w:rsidRPr="00A8737F">
        <w:rPr>
          <w:rFonts w:ascii="Times New Roman" w:hAnsi="Times New Roman" w:cs="Times New Roman"/>
          <w:sz w:val="28"/>
          <w:szCs w:val="28"/>
        </w:rPr>
        <w:t xml:space="preserve"> которого подано (далее - испрашиваемый земельный участок), в случае, если границы такого земельного участка подлежат уточнению в соответствии с Федеральным законом "О государственной регистрации недвижимости";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4) реквизиты решения об утверждении проекта межевания территории, если образование испрашиваемого земельного участка предусмотрено указанным проектом;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5) кадастровый номер земельного участка или кадастровые номера земельных участков, из которых в соответствии с проектом межевания территории,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участка, в случае, если сведения о таких земельных участках внесены в Единый государственный реестр недвижимости;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6) основание предоставления земельного участка без проведения торгов из числа предусмотренных пунктом 2 статьи 39.3, статьей 39.5, пунктом 2 статьи 39.6 или пунктом 2 статьи 39.10 настоящего Кодекса оснований;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7) вид права, на котором заявитель желает приобрести земельный участок, если предоставление земельного участка возможно на нескольких видах прав;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8) цель использования земельного участка;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9) реквизиты решения об изъятии земельного участка для государственных или муниципальных нужд в случае, если земельный участок предоставляется взамен земельного участка, изымаемого для государственных или муниципальных нужд;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10) реквизиты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указанными документом и (или) проектом;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11) почтовый адрес и (или) адрес электронной почты для связи с заявителем.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Законодатель также определил определенный перечень документов, ко</w:t>
      </w:r>
      <w:r w:rsidR="002510A0">
        <w:rPr>
          <w:rFonts w:ascii="Times New Roman" w:hAnsi="Times New Roman" w:cs="Times New Roman"/>
          <w:sz w:val="28"/>
          <w:szCs w:val="28"/>
        </w:rPr>
        <w:t>то</w:t>
      </w:r>
      <w:r w:rsidRPr="00A8737F">
        <w:rPr>
          <w:rFonts w:ascii="Times New Roman" w:hAnsi="Times New Roman" w:cs="Times New Roman"/>
          <w:sz w:val="28"/>
          <w:szCs w:val="28"/>
        </w:rPr>
        <w:t>рые необходимо приложить к соответствующему заявлению.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Так, согласно ч. 2 ст. 39.15 ЗК РФ к заявлению о предварительном согласовании предоставления земельного участка прилагаются: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1) документы, подтверждающие право заявителя на приобретение земельного участка без проведения торгов и предусмотренные перечнем, установленным уполномоченным Правительством Российской Федерации федеральным органом исполнительной власти, за исключением документов, которые должны быть представлены в уполномоченный орган в порядке межведомственного информационного взаимодействия;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2) схема расположения земельного участка в случае, если испрашиваемый земельный участок предстоит образовать и отсутствует проект межевания территории, в границах которой предстоит образовать такой земельный участок;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3) проектная документация лесных участков в случае, если подано заявление о предварительном согласовании предоставления лесного участка;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4) документ, подтверждающий полномочия представителя заявителя, в случае, если с заявлением о предварительном согласовании предоставления земельного участка обращается представитель заявителя;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5)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6) подготовленные некоммерческой организацией, созданной гражданами, списки ее членов в случае,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Необходимо обратить внимание, что в соответствии с ч. 3 ст. 39.15 ЗК РФ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заявителю, если оно не соответствует требованиям пункта 1 данной статьи, подано в иной уполномоченный орган или к заявлению не приложены документы, предусмотренные пунктом 2 данной статьи. При этом заявителю должны быть указаны причины возврата заявления о предварительном согласовании предоставления земельного участка.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510A0" w:rsidRPr="002510A0" w:rsidRDefault="002510A0" w:rsidP="002510A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2510A0">
        <w:rPr>
          <w:rFonts w:ascii="Times New Roman" w:hAnsi="Times New Roman" w:cs="Times New Roman"/>
          <w:sz w:val="28"/>
          <w:szCs w:val="28"/>
          <w:u w:val="single"/>
        </w:rPr>
        <w:t>6. Безопасность при использовании и содержании внутридомового и внутриквартирного газового оборудования</w:t>
      </w:r>
    </w:p>
    <w:p w:rsidR="002510A0" w:rsidRPr="00A8737F" w:rsidRDefault="002510A0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Постановлением Правительства РФ от 9 сентября 2017 г. № 1091 внесены изменения в некоторые акты Правительства Российской Федерации по вопросам обеспечения безопасности при использовании и содержании внутридомового и внутриквартирного газового оборудования.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lastRenderedPageBreak/>
        <w:t>Внутридомовое и внутриквартирное газовое оборудование: предусмотрена обязанность заключать договор о техобслуживании и ремонте со специализированной организацией.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Изменения касаются обеспечения безопасности при использовании и содержании внутридомового и внутриквартирного газового оборудования.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В состав общего имущества в многоквартирном доме включается, в частности, внутридомовая инженерная система газоснабжения. Уточнено, что она состоит из газопроводов до запорной арматуры (крана) включительно.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Исключение предусмотрено не просто для газоиспользующего оборудования, входящего в состав внутриквартирного газового оборудования, а для бытового газоиспользующего оборудования.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Аналогичным образом уточнено понятие внутридомового газового оборудования в многоквартирном доме.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К внутриквартирному газовому оборудованию относятся газопроводы многоквартирного дома, проложенные от запорной арматуры (крана) включительно.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Ранее специализированной организацией признавалась только газораспределительная организация, допущенная к техобслуживанию внутридомового газового оборудования и имеющая аварийно-диспетчерскую службу. Теперь это организация, осуществляющая деятельность по техобслуживанию и ремонту внутридомового и (или) внутриквартирного газового оборудования, соответствующая установленным требованиям, направившая уведомление о начале осуществления этой деятельности.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Предусмотрена обязанность заключать договор о техобслуживании и ремонте внутридомового и (или) внутриквартирного газового оборудования со специализированной организацией.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Установлено, что по договору о техобслуживании и ремонте внутридомового и (или) внутриквартирного газового оборудования заказчик и исполнитель не могут быть одним и тем же лицом.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Предусмотрены требования к лицам, осуществляющим деятельность по техобслуживанию и ремонту внутридомового и (или) внутриквартирного газового оборудования, а также работы по техническому диагностированию.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В рамках государственного жилищного надзора проверяется соблюдение обязательных требований к наличию договора о техобслуживании и ремонте внутридомового и (или) внутриквартирного газового оборудования со специализированной организацией.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510A0" w:rsidRPr="002510A0" w:rsidRDefault="002510A0" w:rsidP="002510A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A8737F" w:rsidRPr="002510A0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 w:rsidRPr="002510A0">
        <w:rPr>
          <w:rFonts w:ascii="Times New Roman" w:hAnsi="Times New Roman" w:cs="Times New Roman"/>
          <w:sz w:val="28"/>
          <w:szCs w:val="28"/>
          <w:u w:val="single"/>
        </w:rPr>
        <w:t>Прямое возмещение убытков после дорожно – транспортного происшествия</w:t>
      </w:r>
    </w:p>
    <w:p w:rsidR="002510A0" w:rsidRDefault="002510A0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С 25 сентября 2017 года вступят в силу изменения, внесенные в Федеральный закон от 25.04.2002 № 40-ФЗ «Об обязательном страховании гражданской ответственности владельцев транспортных средств», дающие потерпевшему право на обращение за возмещением убытков в свою страховую компанию в </w:t>
      </w:r>
      <w:r w:rsidRPr="00A8737F">
        <w:rPr>
          <w:rFonts w:ascii="Times New Roman" w:hAnsi="Times New Roman" w:cs="Times New Roman"/>
          <w:sz w:val="28"/>
          <w:szCs w:val="28"/>
        </w:rPr>
        <w:lastRenderedPageBreak/>
        <w:t>случае, когда в ДТП приняло участие более 2-х транспортных средств. Изменения коснутся статьи 14 указанного Федерального закона.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В настоящее время данная статья предусматривает, что у потерпевшего есть право на предъявление требований о возмещении ущерба, нанесенного его имуществу, страховой компании, где потерпевший застраховал свою гражданскую ответственность, в случае, если ДТП случилось с участием 2-х автомобилей (в том числе и прицепов к ним).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В соответствии с внесенными изменениями, у потерпевшего появляется право на прямое возмещение убытков даже в тех случаях, когда в ДТП участниками стали более двух автомобилей. Потерпевший может обратиться в свою страховую компанию для получения возмещения по ДТП или восстановительного ремонта.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Согласно п.3. ст.3 Федерального закона от 28.03.2017 № 49-ФЗ «О внесении изменений в Федеральный закон «Об обязательном страховании гражданской ответственности владельцев транспортных средств» изменения будут касаться всех случаев ДТП, произошедших после дня их вступления в законную силу.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Таким образом, получить прямое возмещение убытков после ДТП с тремя и более автомобилями смогут все водители с 25 сентября текущего года, независимо от того, когда был заключен договор ОСАГО.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2510A0" w:rsidRDefault="002510A0" w:rsidP="002510A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2510A0">
        <w:rPr>
          <w:rFonts w:ascii="Times New Roman" w:hAnsi="Times New Roman" w:cs="Times New Roman"/>
          <w:sz w:val="28"/>
          <w:szCs w:val="28"/>
          <w:u w:val="single"/>
        </w:rPr>
        <w:t>8. Государственный служащий, сообщивший о фактах коррупции под защитой государства</w:t>
      </w:r>
    </w:p>
    <w:p w:rsidR="002510A0" w:rsidRDefault="002510A0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На основании ст. 9 Федерального закона от 25.12.2008 № 273-ФЗ «О противодействии коррупции» для государственных (муниципальных) служащих предусмотрена обязанность уведомлять представителя нанимателя (работодателя), органы прокуратуры или другие государственные органы обо всех случаях обращения к служащему каких-либо лиц в целях склонения его к совершению коррупционных правонарушений.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Порядок уведомления представителя нанимателя (работодателя) определяется самостоятельно каждым органом власти. 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Как правило, уведомление работодателя о склонении служащего к коррупционному правонарушению должно осуществляться незамедлительно, но не позднее следующего дня после указанного факта. В уведомлении подробно должны отражаться все сведения, связанные с противоправным поведением потенциального правонарушителя, его установочные данные, дату, время, обстоятельства, сущность предложения, а также информация о заявителе. Уведомление подлежит обязательной регистрации в специальном журнале.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С целью недопущения коррупционных правонарушений в коллективе государственного и муниципального органа служащий может уведомить обо всех известных ему фактах обращения к совершению коррупционного правонарушения, направленных к его коллегам.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При этом законодательством предусмотрена защита служащих, уведомивших о фактах склонения к коррупционным правонарушениям.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lastRenderedPageBreak/>
        <w:t>Государственному или муниципальному служащему работодателем обеспечиваются гарантии, предотвращающие его неправомерное увольнение, перевод на нижестоящую должность, лишение или снижение размера премии, перенос времени отпуска, привлечение к дисциплинарной ответственности в период рассмотрения представленного государственным или муниципальным служащим уведомления.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В случае решения вопроса о привлечения к дисциплинарной ответственности государственного или муниципального служащего обоснованность такого решения рассматривается на заседании соответствующей комиссии по соблюдению требований к служебному поведению и урегулированию конфликта интересов в соответствии с подпунктом «в» пункта 16 Положения о комиссиях по соблюдению требований к служебному поведению федеральных государственных служащих и урегулированию конфликта интересов, утвержденного Указом Президента Российской Федерации от 01.07.2010 № 821 и Указа Президента Российской Федерации от 02.04.2013 № 309 «О мерах по реализации отдельных положений Федерального закона «О противодействии коррупции» с участием прокурора.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Невыполнение служащим установленной законодательством обязанности является правонарушением, влекущим его увольнение с государственной или муниципальной службы либо привлечение к иным видам ответственности в соответствии с законодательством Российской Федерации.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2510A0" w:rsidRDefault="002510A0" w:rsidP="002510A0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2510A0">
        <w:rPr>
          <w:rFonts w:ascii="Times New Roman" w:hAnsi="Times New Roman" w:cs="Times New Roman"/>
          <w:sz w:val="28"/>
          <w:szCs w:val="28"/>
          <w:u w:val="single"/>
        </w:rPr>
        <w:t>9. Сельское хозяйство в лесах</w:t>
      </w:r>
    </w:p>
    <w:p w:rsidR="002510A0" w:rsidRPr="00A8737F" w:rsidRDefault="002510A0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Утвержденными Приказом Минприроды России от 21.06.2017 №314 правилами определено, что для сенокошения должны использоваться нелесные земли, а также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необлесившиеся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 xml:space="preserve"> лесосеки, прогалины и другие не покрытые лесной растительностью земли, до проведения на них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лесовосстановления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>. В необходимых случаях для сенокошения могут использоваться пригодные для этой цели участки малоценных лесных насаждений, не намеченные под реконструкцию.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Для выпаса сельскохозяйственных животных должны использоваться нелесные земли, а также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необлесившиеся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 xml:space="preserve"> вырубки, редины, прогалины и другие не покрытые лесной растительностью земли, до проведения на них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лесовосстановления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>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Полностью запрещена сельскохозяйственная деятельность в лесопарковых зонах, городских лесах, на заповедных лесных участках. Запрет обусловлен необходимостью ограничения антропогенного воздействия на окружающую среду.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Впервые запрещено использовать для ведения сельского хозяйства земли, занятые лесными культурами, естественными молодняками ценных древесных пород,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селекционно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 xml:space="preserve">-лесосеменных, сосновых, елово-пихтовых, ивовых, твердолиственных, ореховых плантаций, с проектируемыми мероприятиями по содействию естественному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лесовосстановлению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лесовосстановлению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 xml:space="preserve"> хвойными </w:t>
      </w:r>
      <w:r w:rsidRPr="00A8737F">
        <w:rPr>
          <w:rFonts w:ascii="Times New Roman" w:hAnsi="Times New Roman" w:cs="Times New Roman"/>
          <w:sz w:val="28"/>
          <w:szCs w:val="28"/>
        </w:rPr>
        <w:lastRenderedPageBreak/>
        <w:t>и твердолиственными породами, с легкоразмываемыми и развеиваемыми почвами.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Граждане имеют право свободно и бесплатно пребывать в лесах и для собственных нужд осуществлять заготовку и сбор дикорастущих плодов, ягод, орехов, грибов, других пригодных для употребления в пиш</w:t>
      </w:r>
      <w:bookmarkStart w:id="0" w:name="_GoBack"/>
      <w:bookmarkEnd w:id="0"/>
      <w:r w:rsidRPr="00A8737F">
        <w:rPr>
          <w:rFonts w:ascii="Times New Roman" w:hAnsi="Times New Roman" w:cs="Times New Roman"/>
          <w:sz w:val="28"/>
          <w:szCs w:val="28"/>
        </w:rPr>
        <w:t xml:space="preserve">у лесных ресурсов (пищевых лесных ресурсов), а также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недревесных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 xml:space="preserve"> лесных ресурсов.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Для выращивания сельскохозяйственных культур должны использоваться нелесные земли, а также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необлесившиеся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 xml:space="preserve"> лесосеки, прогалины и другие не покрытые лесной растительностью земли, до проведения на них </w:t>
      </w:r>
      <w:proofErr w:type="spellStart"/>
      <w:r w:rsidRPr="00A8737F">
        <w:rPr>
          <w:rFonts w:ascii="Times New Roman" w:hAnsi="Times New Roman" w:cs="Times New Roman"/>
          <w:sz w:val="28"/>
          <w:szCs w:val="28"/>
        </w:rPr>
        <w:t>лесовосстановления</w:t>
      </w:r>
      <w:proofErr w:type="spellEnd"/>
      <w:r w:rsidRPr="00A8737F">
        <w:rPr>
          <w:rFonts w:ascii="Times New Roman" w:hAnsi="Times New Roman" w:cs="Times New Roman"/>
          <w:sz w:val="28"/>
          <w:szCs w:val="28"/>
        </w:rPr>
        <w:t>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На лиц, ведущих сельскохозяйственную деятельность в лесах, налагаются и определенные обязанности: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- составление проекта освоения лесов (документ, согласованный с органами лесного хозяйства, и определяющий помимо прочего перечень и характеристику объектов инфраструктуры, подлежащий возведению на лесном участке),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- подача ежегодной лесной декларации (заявление об использовании лесов)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- осуществлять меры санитарной безопасности в лесах, в том числе санитарно-оздоровительные и профилактические мероприятия по защите лесов,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- соблюдать требования пожарной безопасности в лесах,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- представлять отчеты об использовании лесов и об охране лесов от пожаров.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510A0" w:rsidRPr="00800903" w:rsidRDefault="002510A0" w:rsidP="0080090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00903">
        <w:rPr>
          <w:rFonts w:ascii="Times New Roman" w:hAnsi="Times New Roman" w:cs="Times New Roman"/>
          <w:sz w:val="28"/>
          <w:szCs w:val="28"/>
          <w:u w:val="single"/>
        </w:rPr>
        <w:t>10</w:t>
      </w:r>
      <w:r w:rsidR="00A8737F" w:rsidRPr="00800903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 w:rsidRPr="00800903">
        <w:rPr>
          <w:rFonts w:ascii="Times New Roman" w:hAnsi="Times New Roman" w:cs="Times New Roman"/>
          <w:sz w:val="28"/>
          <w:szCs w:val="28"/>
          <w:u w:val="single"/>
        </w:rPr>
        <w:t xml:space="preserve">Административная ответственность за распространение в СМИ </w:t>
      </w:r>
      <w:r w:rsidR="00800903" w:rsidRPr="00800903">
        <w:rPr>
          <w:rFonts w:ascii="Times New Roman" w:hAnsi="Times New Roman" w:cs="Times New Roman"/>
          <w:sz w:val="28"/>
          <w:szCs w:val="28"/>
          <w:u w:val="single"/>
        </w:rPr>
        <w:t>предложений о продаже алкоголя в розницу.</w:t>
      </w:r>
    </w:p>
    <w:p w:rsidR="00800903" w:rsidRDefault="00800903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Законодатель установил административную ответственность за распространение в средствах массовой информации, а также в информационно-телекоммуникационных сетях информации, содержащей предложения о розничной продаже дистанционным способом алкогольной продукции, и (или) спиртосодержащей пищевой продукции, и (или) этилового спирта, и (или) спиртосодержащей непищевой продукции, розничная продажа которой ограничена или запрещена законодательством 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 (Федеральный закон от 29.07.2017 № 287).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Санкция части 8 статьи 13.15 КоАП РФ предусматривает административное наказание для граждан в размере от трех тысяч до пяти тысяч рублей; на должностных лиц - от двадцати тысяч до сорока тысяч рублей; на юридических лиц - от ста тысяч рублей до трехсот тысяч рублей.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Федеральный закон вступил в силу 31 июля 2017 г.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00903" w:rsidRPr="00800903" w:rsidRDefault="00800903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00903">
        <w:rPr>
          <w:rFonts w:ascii="Times New Roman" w:hAnsi="Times New Roman" w:cs="Times New Roman"/>
          <w:sz w:val="28"/>
          <w:szCs w:val="28"/>
          <w:u w:val="single"/>
        </w:rPr>
        <w:t>11</w:t>
      </w:r>
      <w:r w:rsidR="00A8737F" w:rsidRPr="00800903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 w:rsidRPr="00800903">
        <w:rPr>
          <w:rFonts w:ascii="Times New Roman" w:hAnsi="Times New Roman" w:cs="Times New Roman"/>
          <w:sz w:val="28"/>
          <w:szCs w:val="28"/>
          <w:u w:val="single"/>
        </w:rPr>
        <w:t>Органы государственного жилищного надзора теперь вправе составить протокол за отказ организации от установки или замене прибора учета используемых энергетических ресурсов.</w:t>
      </w:r>
    </w:p>
    <w:p w:rsidR="00800903" w:rsidRDefault="00800903" w:rsidP="008009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8009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lastRenderedPageBreak/>
        <w:t>Федеральным законом от 26.07.2017 № 209-ФЗ внесены изменения в статьи 23.48 и 23.55 Кодекса Российской Федерации об административных правонарушениях.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С 6 августа 2017 г. полномочия по составлению протоколов и рассмотрению дел об административных правонарушениях, предусматривающих необоснованный отказ или уклонение организации, обязанной осуществлять деятельность по установке, замене, эксплуатации приборов учета используемых энергетических ресурсов, от заключения соответствующего договора и (или) от его исполнения - в части коллективных (общедомовых), индивидуальных и общих (для коммунальных квартир) приборов учета используемых энергетических ресурсов в многоквартирных домах, жилых домах передаются от Федеральной антимонопольной службой Российской Федерации региональным органам государственного жилищного надзора.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00903" w:rsidRPr="00800903" w:rsidRDefault="00800903" w:rsidP="00800903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00903">
        <w:rPr>
          <w:rFonts w:ascii="Times New Roman" w:hAnsi="Times New Roman" w:cs="Times New Roman"/>
          <w:sz w:val="28"/>
          <w:szCs w:val="28"/>
          <w:u w:val="single"/>
        </w:rPr>
        <w:t>12. Уголовная ответственность при уклонении от административного надзора</w:t>
      </w:r>
    </w:p>
    <w:p w:rsidR="00800903" w:rsidRDefault="00800903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Федеральным законом от 18 июля 2017 года № 159-ФЗ внесены изменения в статью 314.1 Уголовного кодекса России.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Теперь уголовная ответственность наступает для поднадзорных лиц, самовольно оставляющих  не только место жительства и  пребывания, но и место фактического нахождения, совершенные в целях уклонения от административного надзора.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 xml:space="preserve">Кроме этого, законодателем установлена уголовная ответственность за неоднократное несоблюдение лицом, в отношении которого установлен административный надзор, административных ограничения или ограничений, установленных ему судом в соответствии с федеральным законом, сопряженное с совершением данным лицом административного правонарушения против порядка управления (за исключением административного правонарушения, предусмотренного статьей 19.24 Кодекса Российской Федерации об административных правонарушениях), либо административного правонарушения, посягающего на общественный порядок и общественную безопасность, либо административного правонарушения, посягающего на здоровье, санитарно-эпидемиологическое благополучие населения и общественную нравственность, либо административного правонарушения, предусмотренного частью 7 статьи 11.5, либо статьей 11.9, либо статьей 12.8, либо статьей 12.26 Кодекса Российской Федерации об административных правонарушениях.   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737F">
        <w:rPr>
          <w:rFonts w:ascii="Times New Roman" w:hAnsi="Times New Roman" w:cs="Times New Roman"/>
          <w:sz w:val="28"/>
          <w:szCs w:val="28"/>
        </w:rPr>
        <w:t>Федеральный закон вступил в силу 30 июля 2017 г.</w:t>
      </w: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8737F" w:rsidRPr="00A8737F" w:rsidRDefault="00A8737F" w:rsidP="00A873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A8737F" w:rsidRPr="00A8737F" w:rsidSect="00A8737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17F"/>
    <w:rsid w:val="000B5135"/>
    <w:rsid w:val="002510A0"/>
    <w:rsid w:val="002A3E48"/>
    <w:rsid w:val="003A1A5A"/>
    <w:rsid w:val="00800903"/>
    <w:rsid w:val="0091517F"/>
    <w:rsid w:val="00A87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A9BB29-882B-4468-BBD9-4D0AA0832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73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10</Pages>
  <Words>3816</Words>
  <Characters>21753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001</dc:creator>
  <cp:keywords/>
  <dc:description/>
  <cp:lastModifiedBy>User</cp:lastModifiedBy>
  <cp:revision>4</cp:revision>
  <cp:lastPrinted>2017-09-19T07:24:00Z</cp:lastPrinted>
  <dcterms:created xsi:type="dcterms:W3CDTF">2017-09-19T06:54:00Z</dcterms:created>
  <dcterms:modified xsi:type="dcterms:W3CDTF">2017-10-03T03:21:00Z</dcterms:modified>
</cp:coreProperties>
</file>